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5923"/>
      </w:tblGrid>
      <w:tr w:rsidR="005E6036" w:rsidRPr="00D13EB4" w:rsidTr="00397687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36" w:rsidRPr="00D13EB4" w:rsidRDefault="005E6036" w:rsidP="00397687">
            <w:pPr>
              <w:spacing w:before="120" w:after="100" w:afterAutospacing="1"/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4C2C45" wp14:editId="7B4B39F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537845</wp:posOffset>
                      </wp:positionV>
                      <wp:extent cx="766445" cy="0"/>
                      <wp:effectExtent l="0" t="0" r="0" b="0"/>
                      <wp:wrapNone/>
                      <wp:docPr id="49032780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2CFEC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42.35pt" to="113.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vmGAIAAC8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8"/>
              </w:rPr>
              <w:t>ỦY BAN NHÂN DÂN THÀNH PHỐ HỒ CHÍ MINH</w:t>
            </w:r>
            <w:r w:rsidRPr="00D13EB4">
              <w:rPr>
                <w:b/>
                <w:bCs/>
                <w:sz w:val="26"/>
                <w:szCs w:val="28"/>
              </w:rPr>
              <w:br/>
            </w:r>
          </w:p>
        </w:tc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36" w:rsidRPr="00D13EB4" w:rsidRDefault="005E6036" w:rsidP="00397687">
            <w:pPr>
              <w:spacing w:before="120" w:after="100" w:afterAutospacing="1"/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ABB87" wp14:editId="20F8EFF4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518160</wp:posOffset>
                      </wp:positionV>
                      <wp:extent cx="2133600" cy="0"/>
                      <wp:effectExtent l="0" t="0" r="19050" b="19050"/>
                      <wp:wrapNone/>
                      <wp:docPr id="9949090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8A8A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40.8pt" to="227.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iRFwIAADA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"/>
                  </w:pict>
                </mc:Fallback>
              </mc:AlternateContent>
            </w:r>
            <w:r w:rsidRPr="00D13EB4">
              <w:rPr>
                <w:b/>
                <w:bCs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13EB4">
                  <w:rPr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  <w:r w:rsidRPr="00D13EB4">
              <w:rPr>
                <w:b/>
                <w:bCs/>
                <w:sz w:val="26"/>
                <w:szCs w:val="28"/>
              </w:rPr>
              <w:br/>
            </w:r>
            <w:r w:rsidRPr="00D13EB4">
              <w:rPr>
                <w:b/>
                <w:bCs/>
                <w:szCs w:val="28"/>
              </w:rPr>
              <w:t xml:space="preserve">Độc lập - Tự do - Hạnh phúc </w:t>
            </w:r>
            <w:r w:rsidRPr="00D13EB4">
              <w:rPr>
                <w:sz w:val="26"/>
                <w:szCs w:val="28"/>
              </w:rPr>
              <w:br/>
            </w:r>
          </w:p>
        </w:tc>
      </w:tr>
      <w:tr w:rsidR="005E6036" w:rsidRPr="00D13EB4" w:rsidTr="00397687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36" w:rsidRPr="00D13EB4" w:rsidRDefault="005E6036" w:rsidP="00397687">
            <w:pPr>
              <w:spacing w:before="120" w:after="100" w:afterAutospacing="1"/>
              <w:jc w:val="center"/>
              <w:rPr>
                <w:sz w:val="26"/>
                <w:szCs w:val="28"/>
              </w:rPr>
            </w:pPr>
            <w:r w:rsidRPr="00D13EB4">
              <w:rPr>
                <w:sz w:val="26"/>
                <w:szCs w:val="28"/>
              </w:rPr>
              <w:t>Số</w:t>
            </w:r>
            <w:r w:rsidRPr="00402109">
              <w:rPr>
                <w:sz w:val="26"/>
                <w:szCs w:val="28"/>
              </w:rPr>
              <w:t xml:space="preserve">:     </w:t>
            </w:r>
            <w:r>
              <w:rPr>
                <w:sz w:val="26"/>
                <w:szCs w:val="28"/>
              </w:rPr>
              <w:t xml:space="preserve">  </w:t>
            </w:r>
            <w:r w:rsidRPr="00402109">
              <w:rPr>
                <w:sz w:val="26"/>
                <w:szCs w:val="28"/>
              </w:rPr>
              <w:t xml:space="preserve"> /202</w:t>
            </w:r>
            <w:r>
              <w:rPr>
                <w:sz w:val="26"/>
                <w:szCs w:val="28"/>
              </w:rPr>
              <w:t>4</w:t>
            </w:r>
            <w:r w:rsidRPr="00402109">
              <w:rPr>
                <w:sz w:val="26"/>
                <w:szCs w:val="28"/>
              </w:rPr>
              <w:t>/</w:t>
            </w:r>
            <w:r w:rsidRPr="00D13EB4">
              <w:rPr>
                <w:sz w:val="26"/>
                <w:szCs w:val="28"/>
              </w:rPr>
              <w:t>QĐ-</w:t>
            </w:r>
            <w:r>
              <w:rPr>
                <w:sz w:val="26"/>
                <w:szCs w:val="28"/>
              </w:rPr>
              <w:t>UBND</w:t>
            </w:r>
          </w:p>
        </w:tc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36" w:rsidRPr="00D13EB4" w:rsidRDefault="005E6036" w:rsidP="00397687">
            <w:pPr>
              <w:spacing w:before="120" w:after="100" w:afterAutospacing="1"/>
              <w:jc w:val="center"/>
              <w:rPr>
                <w:sz w:val="26"/>
                <w:szCs w:val="28"/>
              </w:rPr>
            </w:pPr>
            <w:r>
              <w:rPr>
                <w:i/>
                <w:iCs/>
                <w:sz w:val="26"/>
                <w:szCs w:val="28"/>
              </w:rPr>
              <w:t>Thành phố Hồ Chí Minh</w:t>
            </w:r>
            <w:r w:rsidRPr="00D13EB4">
              <w:rPr>
                <w:i/>
                <w:iCs/>
                <w:sz w:val="26"/>
                <w:szCs w:val="28"/>
              </w:rPr>
              <w:t xml:space="preserve">, ngày </w:t>
            </w:r>
            <w:r>
              <w:rPr>
                <w:i/>
                <w:iCs/>
                <w:sz w:val="26"/>
                <w:szCs w:val="28"/>
              </w:rPr>
              <w:t xml:space="preserve">  </w:t>
            </w:r>
            <w:r>
              <w:rPr>
                <w:i/>
                <w:iCs/>
                <w:color w:val="FF0000"/>
                <w:sz w:val="26"/>
                <w:szCs w:val="28"/>
              </w:rPr>
              <w:t xml:space="preserve">   </w:t>
            </w:r>
            <w:r>
              <w:rPr>
                <w:i/>
                <w:iCs/>
                <w:sz w:val="26"/>
                <w:szCs w:val="28"/>
              </w:rPr>
              <w:t xml:space="preserve"> </w:t>
            </w:r>
            <w:r w:rsidRPr="00D13EB4">
              <w:rPr>
                <w:i/>
                <w:iCs/>
                <w:sz w:val="26"/>
                <w:szCs w:val="28"/>
              </w:rPr>
              <w:t>tháng</w:t>
            </w:r>
            <w:r>
              <w:rPr>
                <w:i/>
                <w:iCs/>
                <w:sz w:val="26"/>
                <w:szCs w:val="28"/>
              </w:rPr>
              <w:t xml:space="preserve">     </w:t>
            </w:r>
            <w:r w:rsidRPr="00D13EB4">
              <w:rPr>
                <w:i/>
                <w:iCs/>
                <w:sz w:val="26"/>
                <w:szCs w:val="28"/>
              </w:rPr>
              <w:t xml:space="preserve"> năm 20</w:t>
            </w:r>
            <w:r>
              <w:rPr>
                <w:i/>
                <w:iCs/>
                <w:sz w:val="26"/>
                <w:szCs w:val="28"/>
              </w:rPr>
              <w:t>24</w:t>
            </w:r>
          </w:p>
        </w:tc>
      </w:tr>
    </w:tbl>
    <w:p w:rsidR="005E6036" w:rsidRDefault="005E6036" w:rsidP="005E6036">
      <w:pPr>
        <w:jc w:val="center"/>
        <w:rPr>
          <w:szCs w:val="28"/>
        </w:rPr>
      </w:pPr>
      <w:r w:rsidRPr="00282F77">
        <w:rPr>
          <w:rFonts w:eastAsia="Calibri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A292E" wp14:editId="4BAA6C67">
                <wp:simplePos x="0" y="0"/>
                <wp:positionH relativeFrom="column">
                  <wp:posOffset>416560</wp:posOffset>
                </wp:positionH>
                <wp:positionV relativeFrom="paragraph">
                  <wp:posOffset>165735</wp:posOffset>
                </wp:positionV>
                <wp:extent cx="1099820" cy="304800"/>
                <wp:effectExtent l="0" t="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036" w:rsidRPr="00CA0A4B" w:rsidRDefault="005E6036" w:rsidP="005E6036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CA0A4B">
                              <w:rPr>
                                <w:rFonts w:cs="Times New Roman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292E" id="Rectangle 3" o:spid="_x0000_s1026" style="position:absolute;left:0;text-align:left;margin-left:32.8pt;margin-top:13.05pt;width:86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" fillcolor="window" strokecolor="windowText" strokeweight=".25pt">
                <v:textbox>
                  <w:txbxContent>
                    <w:p w:rsidR="005E6036" w:rsidRPr="00CA0A4B" w:rsidRDefault="005E6036" w:rsidP="005E6036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CA0A4B">
                        <w:rPr>
                          <w:rFonts w:cs="Times New Roman"/>
                          <w:szCs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:rsidR="005E6036" w:rsidRPr="00D13EB4" w:rsidRDefault="005E6036" w:rsidP="005E6036">
      <w:pPr>
        <w:jc w:val="center"/>
        <w:rPr>
          <w:szCs w:val="28"/>
        </w:rPr>
      </w:pPr>
      <w:r w:rsidRPr="00D13EB4">
        <w:rPr>
          <w:b/>
          <w:bCs/>
          <w:szCs w:val="28"/>
        </w:rPr>
        <w:t>QUYẾT ĐỊNH</w:t>
      </w:r>
    </w:p>
    <w:p w:rsidR="005E6036" w:rsidRPr="00C91A39" w:rsidRDefault="005E6036" w:rsidP="005E6036">
      <w:pPr>
        <w:jc w:val="center"/>
        <w:rPr>
          <w:b/>
          <w:szCs w:val="28"/>
        </w:rPr>
      </w:pPr>
      <w:r>
        <w:rPr>
          <w:b/>
          <w:szCs w:val="28"/>
        </w:rPr>
        <w:t>Bãi bỏ Quyết định số 61/2008/QĐ-UBND ngày 17 tháng 7 năm 2008 của Ủy ban nhân dân Thành phố Hồ Chí Minh ban hành quy đ</w:t>
      </w:r>
      <w:r w:rsidRPr="00C91A39">
        <w:rPr>
          <w:b/>
          <w:szCs w:val="28"/>
        </w:rPr>
        <w:t xml:space="preserve">ịnh công tác quản lý các dự án, hạng mục, hoạt </w:t>
      </w:r>
      <w:r>
        <w:rPr>
          <w:b/>
          <w:szCs w:val="28"/>
        </w:rPr>
        <w:t>đ</w:t>
      </w:r>
      <w:r w:rsidRPr="00C91A39">
        <w:rPr>
          <w:b/>
          <w:szCs w:val="28"/>
        </w:rPr>
        <w:t xml:space="preserve">ộng ứng dụng và phát triển công nghệ thông tin sử dụng vốn ngân sách nhà nước </w:t>
      </w:r>
      <w:r>
        <w:rPr>
          <w:b/>
          <w:szCs w:val="28"/>
        </w:rPr>
        <w:t>T</w:t>
      </w:r>
      <w:r w:rsidRPr="00C91A39">
        <w:rPr>
          <w:b/>
          <w:szCs w:val="28"/>
        </w:rPr>
        <w:t>hành phố Hồ Chí Minh</w:t>
      </w:r>
    </w:p>
    <w:p w:rsidR="005E6036" w:rsidRDefault="005E6036" w:rsidP="005E6036">
      <w:pPr>
        <w:jc w:val="center"/>
        <w:rPr>
          <w:b/>
          <w:sz w:val="36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D8914" wp14:editId="7650A00D">
                <wp:simplePos x="0" y="0"/>
                <wp:positionH relativeFrom="column">
                  <wp:posOffset>2453640</wp:posOffset>
                </wp:positionH>
                <wp:positionV relativeFrom="paragraph">
                  <wp:posOffset>86995</wp:posOffset>
                </wp:positionV>
                <wp:extent cx="971550" cy="0"/>
                <wp:effectExtent l="9525" t="8255" r="9525" b="10795"/>
                <wp:wrapNone/>
                <wp:docPr id="11050080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655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pt,6.85pt" to="269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frGAIAADA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"/>
            </w:pict>
          </mc:Fallback>
        </mc:AlternateContent>
      </w:r>
    </w:p>
    <w:p w:rsidR="005E6036" w:rsidRDefault="005E6036" w:rsidP="005E6036">
      <w:pPr>
        <w:spacing w:before="120" w:after="100" w:afterAutospacing="1"/>
        <w:jc w:val="center"/>
        <w:rPr>
          <w:b/>
          <w:bCs/>
          <w:szCs w:val="28"/>
        </w:rPr>
      </w:pPr>
      <w:r>
        <w:rPr>
          <w:b/>
          <w:bCs/>
          <w:szCs w:val="28"/>
        </w:rPr>
        <w:t>ỦY BAN NHÂN DÂN THÀNH PHỐ HỒ CHÍ MINH</w:t>
      </w:r>
    </w:p>
    <w:p w:rsidR="005E6036" w:rsidRPr="006D78C6" w:rsidRDefault="005E6036" w:rsidP="005E6036">
      <w:pPr>
        <w:spacing w:before="120"/>
        <w:jc w:val="center"/>
        <w:rPr>
          <w:sz w:val="2"/>
          <w:szCs w:val="28"/>
        </w:rPr>
      </w:pPr>
    </w:p>
    <w:p w:rsidR="005E6036" w:rsidRPr="007C07C2" w:rsidRDefault="005E6036" w:rsidP="00643356">
      <w:pPr>
        <w:shd w:val="clear" w:color="auto" w:fill="FFFFFF" w:themeFill="background1"/>
        <w:spacing w:before="180" w:after="180"/>
        <w:jc w:val="both"/>
        <w:rPr>
          <w:i/>
          <w:iCs/>
          <w:color w:val="000000" w:themeColor="text1"/>
          <w:szCs w:val="28"/>
        </w:rPr>
      </w:pPr>
      <w:r w:rsidRPr="007C07C2">
        <w:rPr>
          <w:i/>
          <w:iCs/>
          <w:color w:val="000000" w:themeColor="text1"/>
          <w:szCs w:val="28"/>
        </w:rPr>
        <w:t>ăn cứ Luật Tổ chức chính quyền địa phương ngày 19 tháng 6 năm 2015;</w:t>
      </w:r>
    </w:p>
    <w:p w:rsidR="005E6036" w:rsidRPr="007C07C2" w:rsidRDefault="005E6036" w:rsidP="005E6036">
      <w:pPr>
        <w:shd w:val="clear" w:color="auto" w:fill="FFFFFF" w:themeFill="background1"/>
        <w:spacing w:before="180" w:after="180"/>
        <w:ind w:firstLine="709"/>
        <w:jc w:val="both"/>
        <w:rPr>
          <w:i/>
          <w:iCs/>
          <w:color w:val="000000"/>
          <w:szCs w:val="28"/>
        </w:rPr>
      </w:pPr>
      <w:r w:rsidRPr="007C07C2">
        <w:rPr>
          <w:i/>
          <w:iCs/>
          <w:color w:val="000000" w:themeColor="text1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5E6036" w:rsidRPr="007C07C2" w:rsidRDefault="005E6036" w:rsidP="005E6036">
      <w:pPr>
        <w:shd w:val="clear" w:color="auto" w:fill="FFFFFF" w:themeFill="background1"/>
        <w:spacing w:before="180" w:after="180"/>
        <w:ind w:firstLine="709"/>
        <w:jc w:val="both"/>
        <w:rPr>
          <w:i/>
          <w:iCs/>
          <w:color w:val="000000" w:themeColor="text1"/>
          <w:szCs w:val="28"/>
        </w:rPr>
      </w:pPr>
      <w:r w:rsidRPr="007C07C2">
        <w:rPr>
          <w:i/>
          <w:iCs/>
          <w:color w:val="000000" w:themeColor="text1"/>
          <w:szCs w:val="28"/>
        </w:rPr>
        <w:t>Căn cứ Luật Ban hành văn bản quy phạm pháp luật ngày 22 tháng 6 năm 2015;</w:t>
      </w:r>
    </w:p>
    <w:p w:rsidR="005E6036" w:rsidRPr="007C07C2" w:rsidRDefault="005E6036" w:rsidP="005E6036">
      <w:pPr>
        <w:shd w:val="clear" w:color="auto" w:fill="FFFFFF" w:themeFill="background1"/>
        <w:spacing w:before="180" w:after="180"/>
        <w:ind w:firstLine="709"/>
        <w:jc w:val="both"/>
        <w:rPr>
          <w:i/>
          <w:iCs/>
          <w:color w:val="000000"/>
          <w:szCs w:val="28"/>
        </w:rPr>
      </w:pPr>
      <w:r w:rsidRPr="007C07C2">
        <w:rPr>
          <w:i/>
          <w:iCs/>
          <w:color w:val="000000" w:themeColor="text1"/>
          <w:szCs w:val="28"/>
        </w:rPr>
        <w:t xml:space="preserve">Căn cứ Luật sửa đổi, bổ sung một số điều của Luật Ban hành văn bản quy phạm pháp luật ngày 18 tháng 6 năm 2020; </w:t>
      </w:r>
    </w:p>
    <w:p w:rsidR="005E6036" w:rsidRDefault="005E6036" w:rsidP="005E6036">
      <w:pPr>
        <w:shd w:val="clear" w:color="auto" w:fill="FFFFFF" w:themeFill="background1"/>
        <w:spacing w:before="180" w:after="180"/>
        <w:ind w:firstLine="709"/>
        <w:jc w:val="both"/>
        <w:rPr>
          <w:i/>
          <w:iCs/>
          <w:color w:val="000000" w:themeColor="text1"/>
          <w:szCs w:val="28"/>
        </w:rPr>
      </w:pPr>
      <w:r w:rsidRPr="007C07C2">
        <w:rPr>
          <w:i/>
          <w:iCs/>
          <w:color w:val="000000" w:themeColor="text1"/>
          <w:szCs w:val="28"/>
        </w:rPr>
        <w:t xml:space="preserve">Căn cứ Nghị định số 34/2016/NĐ-CP ngày 14 tháng 5 năm 2016 của Chính phủ quy định chi tiết một số điều và biện pháp thi hành Luật Ban hành văn bản quy phạm pháp luật; </w:t>
      </w:r>
    </w:p>
    <w:p w:rsidR="00FD1F20" w:rsidRPr="00643356" w:rsidRDefault="00FD1F20" w:rsidP="005E6036">
      <w:pPr>
        <w:shd w:val="clear" w:color="auto" w:fill="FFFFFF" w:themeFill="background1"/>
        <w:spacing w:before="180" w:after="180"/>
        <w:ind w:firstLine="709"/>
        <w:jc w:val="both"/>
        <w:rPr>
          <w:rFonts w:cs="Times New Roman"/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 xml:space="preserve">Căn cứ </w:t>
      </w:r>
      <w:r w:rsidR="00643356">
        <w:rPr>
          <w:i/>
          <w:iCs/>
          <w:color w:val="000000" w:themeColor="text1"/>
          <w:szCs w:val="28"/>
        </w:rPr>
        <w:t xml:space="preserve">Nghị định số 154/2020/NĐ-CP ngày 31 tháng 12 năm 2020 của Chính phủ sửa đổi, bổ sung một số điều của Nghị định 34/2016/NĐ-CP ngày 14 tháng 5 năm 2016 của Chính phủ quy định chi tiết một số điều và biện </w:t>
      </w:r>
      <w:r w:rsidR="00643356" w:rsidRPr="00643356">
        <w:rPr>
          <w:rFonts w:cs="Times New Roman"/>
          <w:i/>
          <w:color w:val="000000"/>
          <w:szCs w:val="28"/>
          <w:shd w:val="clear" w:color="auto" w:fill="FFFFFF"/>
        </w:rPr>
        <w:t xml:space="preserve">pháp thi hành </w:t>
      </w:r>
      <w:r w:rsidR="00643356">
        <w:rPr>
          <w:rFonts w:cs="Times New Roman"/>
          <w:i/>
          <w:color w:val="000000"/>
          <w:szCs w:val="28"/>
          <w:shd w:val="clear" w:color="auto" w:fill="FFFFFF"/>
        </w:rPr>
        <w:t>L</w:t>
      </w:r>
      <w:r w:rsidR="00643356" w:rsidRPr="00643356">
        <w:rPr>
          <w:rFonts w:cs="Times New Roman"/>
          <w:i/>
          <w:color w:val="000000"/>
          <w:szCs w:val="28"/>
          <w:shd w:val="clear" w:color="auto" w:fill="FFFFFF"/>
        </w:rPr>
        <w:t xml:space="preserve">uật </w:t>
      </w:r>
      <w:r w:rsidR="00643356">
        <w:rPr>
          <w:rFonts w:cs="Times New Roman"/>
          <w:i/>
          <w:color w:val="000000"/>
          <w:szCs w:val="28"/>
          <w:shd w:val="clear" w:color="auto" w:fill="FFFFFF"/>
        </w:rPr>
        <w:t>B</w:t>
      </w:r>
      <w:r w:rsidR="00643356" w:rsidRPr="00643356">
        <w:rPr>
          <w:rFonts w:cs="Times New Roman"/>
          <w:i/>
          <w:color w:val="000000"/>
          <w:szCs w:val="28"/>
          <w:shd w:val="clear" w:color="auto" w:fill="FFFFFF"/>
        </w:rPr>
        <w:t>an hành văn bản quy phạm pháp luật</w:t>
      </w:r>
      <w:r w:rsidR="00643356">
        <w:rPr>
          <w:rFonts w:cs="Times New Roman"/>
          <w:i/>
          <w:color w:val="000000"/>
          <w:szCs w:val="28"/>
          <w:shd w:val="clear" w:color="auto" w:fill="FFFFFF"/>
        </w:rPr>
        <w:t>;</w:t>
      </w:r>
    </w:p>
    <w:p w:rsidR="005E6036" w:rsidRPr="005D658E" w:rsidRDefault="005E6036" w:rsidP="005E6036">
      <w:pPr>
        <w:shd w:val="clear" w:color="auto" w:fill="FFFFFF" w:themeFill="background1"/>
        <w:spacing w:before="180" w:after="180"/>
        <w:ind w:firstLine="709"/>
        <w:jc w:val="both"/>
        <w:rPr>
          <w:i/>
          <w:iCs/>
          <w:color w:val="000000" w:themeColor="text1"/>
          <w:szCs w:val="28"/>
        </w:rPr>
      </w:pPr>
      <w:r w:rsidRPr="007C07C2">
        <w:rPr>
          <w:i/>
          <w:iCs/>
          <w:color w:val="000000" w:themeColor="text1"/>
          <w:szCs w:val="28"/>
        </w:rPr>
        <w:t xml:space="preserve">Căn cứ Nghị định số 59/2024/NĐ-CP ngày 25 tháng 5 năm 2024 của Chính phủ </w:t>
      </w:r>
      <w:r w:rsidRPr="007C07C2">
        <w:rPr>
          <w:bCs/>
          <w:i/>
          <w:iCs/>
          <w:color w:val="000000" w:themeColor="text1"/>
          <w:szCs w:val="28"/>
        </w:rPr>
        <w:t>sửa đổi, bổ sung một số điều của Nghị định số </w:t>
      </w:r>
      <w:hyperlink r:id="rId6" w:tgtFrame="_blank" w:history="1">
        <w:r w:rsidRPr="007C07C2">
          <w:rPr>
            <w:i/>
            <w:iCs/>
            <w:color w:val="000000" w:themeColor="text1"/>
            <w:szCs w:val="28"/>
          </w:rPr>
          <w:t>34/2016/NĐ-CP </w:t>
        </w:r>
      </w:hyperlink>
      <w:hyperlink r:id="rId7" w:tgtFrame="_blank" w:history="1">
        <w:r w:rsidRPr="007C07C2">
          <w:rPr>
            <w:bCs/>
            <w:i/>
            <w:iCs/>
            <w:color w:val="000000" w:themeColor="text1"/>
            <w:szCs w:val="28"/>
          </w:rPr>
          <w:t>ngày</w:t>
        </w:r>
      </w:hyperlink>
      <w:r w:rsidRPr="007C07C2">
        <w:rPr>
          <w:bCs/>
          <w:i/>
          <w:iCs/>
          <w:color w:val="000000" w:themeColor="text1"/>
          <w:szCs w:val="28"/>
        </w:rPr>
        <w:t> 14 tháng 5 năm 2016 của Chính phủ quy định chi tiết một số điều</w:t>
      </w:r>
      <w:r w:rsidRPr="007C07C2">
        <w:rPr>
          <w:i/>
          <w:iCs/>
          <w:color w:val="000000" w:themeColor="text1"/>
          <w:szCs w:val="28"/>
        </w:rPr>
        <w:t xml:space="preserve"> </w:t>
      </w:r>
      <w:r w:rsidRPr="007C07C2">
        <w:rPr>
          <w:bCs/>
          <w:i/>
          <w:iCs/>
          <w:color w:val="000000" w:themeColor="text1"/>
          <w:szCs w:val="28"/>
        </w:rPr>
        <w:t>và biện pháp thi hành Luật Ban hành văn bản quy phạm pháp luật đã được sửa đổi, bổ sung một số điều theo Nghị định số </w:t>
      </w:r>
      <w:hyperlink r:id="rId8" w:tgtFrame="_blank" w:history="1">
        <w:r w:rsidRPr="007C07C2">
          <w:rPr>
            <w:i/>
            <w:iCs/>
            <w:color w:val="000000" w:themeColor="text1"/>
            <w:szCs w:val="28"/>
          </w:rPr>
          <w:t>154/2020/NĐ-CP</w:t>
        </w:r>
      </w:hyperlink>
      <w:r w:rsidRPr="007C07C2">
        <w:rPr>
          <w:bCs/>
          <w:i/>
          <w:iCs/>
          <w:color w:val="000000" w:themeColor="text1"/>
          <w:szCs w:val="28"/>
        </w:rPr>
        <w:t> ngày 31 tháng 12 năm 2020 của Chính phủ;</w:t>
      </w:r>
    </w:p>
    <w:p w:rsidR="005E6036" w:rsidRDefault="005E6036" w:rsidP="005E6036">
      <w:pPr>
        <w:spacing w:before="180" w:after="180"/>
        <w:ind w:firstLine="709"/>
        <w:jc w:val="both"/>
        <w:rPr>
          <w:b/>
          <w:bCs/>
          <w:szCs w:val="28"/>
        </w:rPr>
      </w:pPr>
      <w:r w:rsidRPr="000E3065">
        <w:rPr>
          <w:i/>
          <w:iCs/>
          <w:szCs w:val="28"/>
        </w:rPr>
        <w:lastRenderedPageBreak/>
        <w:t xml:space="preserve">Theo đề nghị của </w:t>
      </w:r>
      <w:r>
        <w:rPr>
          <w:i/>
          <w:iCs/>
          <w:szCs w:val="28"/>
        </w:rPr>
        <w:t>Giám đốc Sở Thông tin và Truyền thông</w:t>
      </w:r>
      <w:r w:rsidRPr="000E3065">
        <w:rPr>
          <w:i/>
          <w:iCs/>
          <w:szCs w:val="28"/>
        </w:rPr>
        <w:t xml:space="preserve"> tại Tờ trình số </w:t>
      </w:r>
      <w:proofErr w:type="gramStart"/>
      <w:r>
        <w:rPr>
          <w:i/>
          <w:iCs/>
          <w:szCs w:val="28"/>
        </w:rPr>
        <w:t>…</w:t>
      </w:r>
      <w:r w:rsidR="00F25709">
        <w:rPr>
          <w:i/>
          <w:iCs/>
          <w:szCs w:val="28"/>
        </w:rPr>
        <w:t>.</w:t>
      </w:r>
      <w:r w:rsidRPr="000E3065">
        <w:rPr>
          <w:i/>
          <w:iCs/>
          <w:szCs w:val="28"/>
        </w:rPr>
        <w:t>/</w:t>
      </w:r>
      <w:proofErr w:type="gramEnd"/>
      <w:r w:rsidRPr="000E3065">
        <w:rPr>
          <w:i/>
          <w:iCs/>
          <w:szCs w:val="28"/>
        </w:rPr>
        <w:t>TTr-</w:t>
      </w:r>
      <w:r>
        <w:rPr>
          <w:i/>
          <w:iCs/>
          <w:szCs w:val="28"/>
        </w:rPr>
        <w:t>STTTT</w:t>
      </w:r>
      <w:r w:rsidRPr="000E3065">
        <w:rPr>
          <w:i/>
          <w:iCs/>
          <w:szCs w:val="28"/>
        </w:rPr>
        <w:t xml:space="preserve"> ngày </w:t>
      </w:r>
      <w:r>
        <w:rPr>
          <w:i/>
          <w:iCs/>
          <w:szCs w:val="28"/>
        </w:rPr>
        <w:t>….</w:t>
      </w:r>
      <w:r w:rsidRPr="000E3065">
        <w:rPr>
          <w:i/>
          <w:iCs/>
          <w:szCs w:val="28"/>
        </w:rPr>
        <w:t xml:space="preserve"> tháng </w:t>
      </w:r>
      <w:r>
        <w:rPr>
          <w:i/>
          <w:iCs/>
          <w:szCs w:val="28"/>
        </w:rPr>
        <w:t>…</w:t>
      </w:r>
      <w:r w:rsidRPr="000E3065">
        <w:rPr>
          <w:i/>
          <w:iCs/>
          <w:szCs w:val="28"/>
        </w:rPr>
        <w:t xml:space="preserve"> năm </w:t>
      </w:r>
      <w:r>
        <w:rPr>
          <w:i/>
          <w:iCs/>
          <w:szCs w:val="28"/>
        </w:rPr>
        <w:t>….</w:t>
      </w:r>
      <w:r w:rsidRPr="000E3065">
        <w:rPr>
          <w:i/>
          <w:iCs/>
          <w:szCs w:val="28"/>
        </w:rPr>
        <w:t xml:space="preserve"> và </w:t>
      </w:r>
      <w:r w:rsidRPr="000E3065">
        <w:rPr>
          <w:i/>
          <w:iCs/>
          <w:szCs w:val="28"/>
          <w:lang w:val="nl-NL"/>
        </w:rPr>
        <w:t xml:space="preserve">ý kiến thẩm định của Sở Tư pháp tại Báo cáo số </w:t>
      </w:r>
      <w:proofErr w:type="gramStart"/>
      <w:r>
        <w:rPr>
          <w:i/>
          <w:iCs/>
          <w:szCs w:val="28"/>
          <w:lang w:val="nl-NL"/>
        </w:rPr>
        <w:t>.....</w:t>
      </w:r>
      <w:proofErr w:type="gramEnd"/>
      <w:r>
        <w:rPr>
          <w:i/>
          <w:iCs/>
          <w:szCs w:val="28"/>
          <w:lang w:val="nl-NL"/>
        </w:rPr>
        <w:t>/</w:t>
      </w:r>
      <w:r w:rsidRPr="000E3065">
        <w:rPr>
          <w:i/>
          <w:iCs/>
          <w:szCs w:val="28"/>
          <w:lang w:val="nl-NL"/>
        </w:rPr>
        <w:t xml:space="preserve">BC-STP-KTrVB ngày </w:t>
      </w:r>
      <w:r>
        <w:rPr>
          <w:i/>
          <w:iCs/>
          <w:szCs w:val="28"/>
          <w:lang w:val="nl-NL"/>
        </w:rPr>
        <w:t>....</w:t>
      </w:r>
      <w:r w:rsidRPr="000E3065">
        <w:rPr>
          <w:i/>
          <w:iCs/>
          <w:szCs w:val="28"/>
          <w:lang w:val="nl-NL"/>
        </w:rPr>
        <w:t xml:space="preserve"> tháng </w:t>
      </w:r>
      <w:r>
        <w:rPr>
          <w:i/>
          <w:iCs/>
          <w:szCs w:val="28"/>
          <w:lang w:val="nl-NL"/>
        </w:rPr>
        <w:t>.... năm...</w:t>
      </w:r>
    </w:p>
    <w:p w:rsidR="005E6036" w:rsidRDefault="005E6036" w:rsidP="005E6036">
      <w:pPr>
        <w:spacing w:before="180" w:after="18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</w:t>
      </w:r>
    </w:p>
    <w:p w:rsidR="005E6036" w:rsidRPr="00576074" w:rsidRDefault="005E6036" w:rsidP="005E6036">
      <w:pPr>
        <w:spacing w:before="180" w:after="180"/>
        <w:ind w:firstLine="709"/>
        <w:jc w:val="center"/>
        <w:rPr>
          <w:i/>
          <w:iCs/>
          <w:szCs w:val="28"/>
          <w:lang w:val="nl-NL"/>
        </w:rPr>
      </w:pPr>
      <w:r w:rsidRPr="00ED2FDB">
        <w:rPr>
          <w:b/>
          <w:bCs/>
          <w:szCs w:val="28"/>
        </w:rPr>
        <w:t>QUYẾT ĐỊNH:</w:t>
      </w:r>
    </w:p>
    <w:p w:rsidR="005E6036" w:rsidRPr="00024BA7" w:rsidRDefault="005E6036" w:rsidP="005E6036">
      <w:pPr>
        <w:pStyle w:val="NormalWeb"/>
        <w:spacing w:before="180" w:beforeAutospacing="0" w:after="180" w:afterAutospacing="0"/>
        <w:jc w:val="center"/>
        <w:rPr>
          <w:sz w:val="10"/>
          <w:szCs w:val="10"/>
        </w:rPr>
      </w:pPr>
    </w:p>
    <w:p w:rsidR="005E6036" w:rsidRDefault="005E6036" w:rsidP="005E6036">
      <w:pPr>
        <w:pStyle w:val="NormalWeb"/>
        <w:spacing w:before="180" w:beforeAutospacing="0" w:after="180" w:afterAutospacing="0"/>
        <w:ind w:firstLine="720"/>
        <w:jc w:val="both"/>
        <w:rPr>
          <w:sz w:val="28"/>
          <w:szCs w:val="28"/>
        </w:rPr>
      </w:pPr>
      <w:r w:rsidRPr="54E93B8C">
        <w:rPr>
          <w:b/>
          <w:bCs/>
          <w:sz w:val="28"/>
          <w:szCs w:val="28"/>
        </w:rPr>
        <w:t>Điều 1.</w:t>
      </w:r>
      <w:r>
        <w:rPr>
          <w:b/>
          <w:bCs/>
          <w:sz w:val="28"/>
          <w:szCs w:val="28"/>
        </w:rPr>
        <w:t xml:space="preserve"> </w:t>
      </w:r>
      <w:r w:rsidRPr="00A03426">
        <w:rPr>
          <w:b/>
          <w:bCs/>
          <w:sz w:val="28"/>
          <w:szCs w:val="28"/>
        </w:rPr>
        <w:t>Bãi bỏ toàn bộ Quyết định</w:t>
      </w:r>
      <w:r w:rsidRPr="54E93B8C">
        <w:rPr>
          <w:sz w:val="28"/>
          <w:szCs w:val="28"/>
        </w:rPr>
        <w:t xml:space="preserve"> </w:t>
      </w:r>
    </w:p>
    <w:p w:rsidR="005E6036" w:rsidRPr="00967737" w:rsidRDefault="005E6036" w:rsidP="005E6036">
      <w:pPr>
        <w:pStyle w:val="NormalWeb"/>
        <w:spacing w:before="180" w:beforeAutospacing="0" w:after="18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Bãi bỏ toàn bộ Quyết định số 61</w:t>
      </w:r>
      <w:r w:rsidRPr="00D70607">
        <w:rPr>
          <w:sz w:val="28"/>
          <w:szCs w:val="28"/>
        </w:rPr>
        <w:t>/200</w:t>
      </w:r>
      <w:r>
        <w:rPr>
          <w:sz w:val="28"/>
          <w:szCs w:val="28"/>
        </w:rPr>
        <w:t>8</w:t>
      </w:r>
      <w:r w:rsidRPr="00D70607">
        <w:rPr>
          <w:sz w:val="28"/>
          <w:szCs w:val="28"/>
        </w:rPr>
        <w:t>/QĐ-UBND</w:t>
      </w:r>
      <w:r>
        <w:rPr>
          <w:sz w:val="28"/>
          <w:szCs w:val="28"/>
        </w:rPr>
        <w:t xml:space="preserve"> ngày 17 tháng 7 năm 2008 của Ủy ban nhân dân Thành phố Hồ Chí Minh ban hành quy định công tác </w:t>
      </w:r>
      <w:r w:rsidRPr="00967737">
        <w:rPr>
          <w:sz w:val="28"/>
          <w:szCs w:val="28"/>
        </w:rPr>
        <w:t>quản lý các dự án, hạng mục, hoạt động ứng dụng và phát triển công nghệ</w:t>
      </w:r>
      <w:r>
        <w:rPr>
          <w:sz w:val="28"/>
          <w:szCs w:val="28"/>
        </w:rPr>
        <w:t xml:space="preserve"> thông tin </w:t>
      </w:r>
      <w:r w:rsidRPr="00967737">
        <w:rPr>
          <w:sz w:val="28"/>
          <w:szCs w:val="28"/>
        </w:rPr>
        <w:t>sử dụng vốn ngân sách nhà nước Thành phố Hồ Chí Minh</w:t>
      </w:r>
      <w:r>
        <w:rPr>
          <w:sz w:val="28"/>
          <w:szCs w:val="28"/>
        </w:rPr>
        <w:t>.</w:t>
      </w:r>
    </w:p>
    <w:p w:rsidR="005E6036" w:rsidRDefault="005E6036" w:rsidP="005E6036">
      <w:pPr>
        <w:pStyle w:val="NormalWeb"/>
        <w:spacing w:before="180" w:beforeAutospacing="0" w:after="180" w:afterAutospacing="0"/>
        <w:ind w:firstLine="720"/>
        <w:jc w:val="both"/>
        <w:rPr>
          <w:b/>
          <w:bCs/>
          <w:sz w:val="28"/>
          <w:szCs w:val="28"/>
        </w:rPr>
      </w:pPr>
      <w:r w:rsidRPr="00ED2FDB">
        <w:rPr>
          <w:b/>
          <w:bCs/>
          <w:sz w:val="28"/>
          <w:szCs w:val="28"/>
        </w:rPr>
        <w:t xml:space="preserve">Điều </w:t>
      </w:r>
      <w:r>
        <w:rPr>
          <w:b/>
          <w:bCs/>
          <w:sz w:val="28"/>
          <w:szCs w:val="28"/>
        </w:rPr>
        <w:t>2</w:t>
      </w:r>
      <w:r w:rsidRPr="00ED2FDB">
        <w:rPr>
          <w:b/>
          <w:bCs/>
          <w:sz w:val="28"/>
          <w:szCs w:val="28"/>
        </w:rPr>
        <w:t>.</w:t>
      </w:r>
      <w:r w:rsidRPr="00ED2FDB">
        <w:rPr>
          <w:sz w:val="28"/>
          <w:szCs w:val="28"/>
        </w:rPr>
        <w:t xml:space="preserve"> </w:t>
      </w:r>
      <w:r w:rsidRPr="00A03426">
        <w:rPr>
          <w:b/>
          <w:bCs/>
          <w:sz w:val="28"/>
          <w:szCs w:val="28"/>
        </w:rPr>
        <w:t>Điều khoản thi hành</w:t>
      </w:r>
    </w:p>
    <w:p w:rsidR="005E6036" w:rsidRPr="00027A90" w:rsidRDefault="005E6036" w:rsidP="005E6036">
      <w:pPr>
        <w:widowControl w:val="0"/>
        <w:snapToGrid w:val="0"/>
        <w:spacing w:line="288" w:lineRule="auto"/>
        <w:ind w:firstLine="709"/>
        <w:jc w:val="both"/>
        <w:rPr>
          <w:rFonts w:eastAsia="Courier New"/>
          <w:szCs w:val="28"/>
          <w:lang w:eastAsia="vi-VN"/>
        </w:rPr>
      </w:pPr>
      <w:r w:rsidRPr="00027A90">
        <w:rPr>
          <w:rFonts w:eastAsia="Courier New"/>
          <w:szCs w:val="28"/>
          <w:lang w:eastAsia="vi-VN"/>
        </w:rPr>
        <w:t xml:space="preserve">1. Quyết định này có hiệu lực từ ngày </w:t>
      </w:r>
      <w:r>
        <w:rPr>
          <w:rFonts w:eastAsia="Courier New"/>
          <w:szCs w:val="28"/>
          <w:lang w:eastAsia="vi-VN"/>
        </w:rPr>
        <w:t>….</w:t>
      </w:r>
      <w:r w:rsidRPr="00027A90">
        <w:rPr>
          <w:rFonts w:eastAsia="Courier New"/>
          <w:szCs w:val="28"/>
          <w:lang w:eastAsia="vi-VN"/>
        </w:rPr>
        <w:t xml:space="preserve"> tháng </w:t>
      </w:r>
      <w:r>
        <w:rPr>
          <w:rFonts w:eastAsia="Courier New"/>
          <w:szCs w:val="28"/>
          <w:lang w:eastAsia="vi-VN"/>
        </w:rPr>
        <w:t>…</w:t>
      </w:r>
      <w:r w:rsidRPr="00027A90">
        <w:rPr>
          <w:rFonts w:eastAsia="Courier New"/>
          <w:szCs w:val="28"/>
          <w:lang w:eastAsia="vi-VN"/>
        </w:rPr>
        <w:t xml:space="preserve"> năm 202</w:t>
      </w:r>
      <w:r>
        <w:rPr>
          <w:rFonts w:eastAsia="Courier New"/>
          <w:szCs w:val="28"/>
          <w:lang w:eastAsia="vi-VN"/>
        </w:rPr>
        <w:t>4</w:t>
      </w:r>
      <w:r w:rsidRPr="00027A90">
        <w:rPr>
          <w:rFonts w:eastAsia="Courier New"/>
          <w:szCs w:val="28"/>
          <w:lang w:eastAsia="vi-VN"/>
        </w:rPr>
        <w:t>.</w:t>
      </w:r>
    </w:p>
    <w:p w:rsidR="005E6036" w:rsidRDefault="005E6036" w:rsidP="005E6036">
      <w:pPr>
        <w:pStyle w:val="ListParagraph"/>
        <w:widowControl w:val="0"/>
        <w:tabs>
          <w:tab w:val="left" w:pos="561"/>
          <w:tab w:val="left" w:pos="810"/>
          <w:tab w:val="left" w:pos="990"/>
          <w:tab w:val="left" w:pos="1080"/>
        </w:tabs>
        <w:snapToGrid w:val="0"/>
        <w:spacing w:after="0" w:line="288" w:lineRule="auto"/>
        <w:ind w:left="0" w:firstLine="709"/>
        <w:contextualSpacing w:val="0"/>
        <w:jc w:val="both"/>
        <w:rPr>
          <w:spacing w:val="-4"/>
          <w:szCs w:val="28"/>
          <w:lang w:eastAsia="vi-VN"/>
        </w:rPr>
      </w:pPr>
      <w:r w:rsidRPr="00027A90">
        <w:rPr>
          <w:rFonts w:eastAsia="Courier New"/>
          <w:szCs w:val="28"/>
          <w:lang w:eastAsia="vi-VN"/>
        </w:rPr>
        <w:t>2.</w:t>
      </w:r>
      <w:r w:rsidRPr="00027A90">
        <w:rPr>
          <w:b/>
          <w:szCs w:val="28"/>
          <w:lang w:val="vi-VN"/>
        </w:rPr>
        <w:t xml:space="preserve"> </w:t>
      </w:r>
      <w:r w:rsidRPr="00027A90">
        <w:rPr>
          <w:szCs w:val="28"/>
          <w:lang w:val="vi-VN"/>
        </w:rPr>
        <w:t xml:space="preserve">Chánh Văn phòng Ủy ban nhân dân </w:t>
      </w:r>
      <w:r w:rsidRPr="00027A90">
        <w:rPr>
          <w:szCs w:val="28"/>
        </w:rPr>
        <w:t>T</w:t>
      </w:r>
      <w:r w:rsidRPr="00027A90">
        <w:rPr>
          <w:szCs w:val="28"/>
          <w:lang w:val="vi-VN"/>
        </w:rPr>
        <w:t xml:space="preserve">hành phố, Giám đốc </w:t>
      </w:r>
      <w:r w:rsidRPr="00027A90">
        <w:rPr>
          <w:szCs w:val="28"/>
        </w:rPr>
        <w:t>S</w:t>
      </w:r>
      <w:r w:rsidRPr="00027A90">
        <w:rPr>
          <w:szCs w:val="28"/>
          <w:lang w:val="vi-VN"/>
        </w:rPr>
        <w:t xml:space="preserve">ở </w:t>
      </w:r>
      <w:r>
        <w:rPr>
          <w:szCs w:val="28"/>
        </w:rPr>
        <w:t xml:space="preserve">Tư pháp, </w:t>
      </w:r>
      <w:r w:rsidRPr="00027A90">
        <w:rPr>
          <w:szCs w:val="28"/>
          <w:lang w:val="vi-VN"/>
        </w:rPr>
        <w:t xml:space="preserve">Giám đốc </w:t>
      </w:r>
      <w:r w:rsidRPr="00027A90">
        <w:rPr>
          <w:szCs w:val="28"/>
        </w:rPr>
        <w:t>S</w:t>
      </w:r>
      <w:r w:rsidRPr="00027A90">
        <w:rPr>
          <w:szCs w:val="28"/>
          <w:lang w:val="vi-VN"/>
        </w:rPr>
        <w:t xml:space="preserve">ở </w:t>
      </w:r>
      <w:r>
        <w:rPr>
          <w:szCs w:val="28"/>
        </w:rPr>
        <w:t>Thông tin và Truyền thông</w:t>
      </w:r>
      <w:r w:rsidRPr="00027A90">
        <w:rPr>
          <w:szCs w:val="28"/>
          <w:lang w:val="vi-VN"/>
        </w:rPr>
        <w:t xml:space="preserve">, Thủ trưởng các </w:t>
      </w:r>
      <w:r w:rsidRPr="00027A90">
        <w:rPr>
          <w:szCs w:val="28"/>
        </w:rPr>
        <w:t>S</w:t>
      </w:r>
      <w:r w:rsidRPr="00027A90">
        <w:rPr>
          <w:szCs w:val="28"/>
          <w:lang w:val="vi-VN"/>
        </w:rPr>
        <w:t>ở</w:t>
      </w:r>
      <w:r w:rsidRPr="00027A90">
        <w:rPr>
          <w:szCs w:val="28"/>
        </w:rPr>
        <w:t>,</w:t>
      </w:r>
      <w:r w:rsidRPr="00027A90">
        <w:rPr>
          <w:szCs w:val="28"/>
          <w:lang w:val="vi-VN"/>
        </w:rPr>
        <w:t xml:space="preserve"> </w:t>
      </w:r>
      <w:r w:rsidRPr="00027A90">
        <w:rPr>
          <w:szCs w:val="28"/>
        </w:rPr>
        <w:t>B</w:t>
      </w:r>
      <w:r w:rsidRPr="00027A90">
        <w:rPr>
          <w:szCs w:val="28"/>
          <w:lang w:val="vi-VN"/>
        </w:rPr>
        <w:t>an</w:t>
      </w:r>
      <w:r w:rsidRPr="00027A90">
        <w:rPr>
          <w:szCs w:val="28"/>
        </w:rPr>
        <w:t>,</w:t>
      </w:r>
      <w:r w:rsidRPr="00027A90">
        <w:rPr>
          <w:szCs w:val="28"/>
          <w:lang w:val="vi-VN"/>
        </w:rPr>
        <w:t xml:space="preserve"> ngành Thành phố</w:t>
      </w:r>
      <w:r>
        <w:rPr>
          <w:szCs w:val="28"/>
        </w:rPr>
        <w:t xml:space="preserve">, Chủ tịch Ủy ban nhân dân các quận, huyện </w:t>
      </w:r>
      <w:r w:rsidRPr="00027A90">
        <w:rPr>
          <w:szCs w:val="28"/>
          <w:lang w:val="vi-VN"/>
        </w:rPr>
        <w:t>chịu trách nhiệm thi hành Quyết định này</w:t>
      </w:r>
      <w:r w:rsidRPr="00027A90">
        <w:rPr>
          <w:szCs w:val="28"/>
        </w:rPr>
        <w:t>.</w:t>
      </w:r>
      <w:r>
        <w:rPr>
          <w:szCs w:val="28"/>
        </w:rPr>
        <w:t>/</w:t>
      </w:r>
      <w:r w:rsidRPr="00CD279B">
        <w:rPr>
          <w:spacing w:val="-4"/>
          <w:szCs w:val="28"/>
          <w:lang w:eastAsia="vi-VN"/>
        </w:rPr>
        <w:t>.</w:t>
      </w:r>
    </w:p>
    <w:p w:rsidR="005E6036" w:rsidRDefault="005E6036" w:rsidP="005E6036">
      <w:pPr>
        <w:pStyle w:val="ListParagraph"/>
        <w:widowControl w:val="0"/>
        <w:tabs>
          <w:tab w:val="left" w:pos="561"/>
          <w:tab w:val="left" w:pos="810"/>
          <w:tab w:val="left" w:pos="990"/>
          <w:tab w:val="left" w:pos="1080"/>
        </w:tabs>
        <w:snapToGrid w:val="0"/>
        <w:spacing w:after="0" w:line="288" w:lineRule="auto"/>
        <w:ind w:left="0" w:firstLine="709"/>
        <w:contextualSpacing w:val="0"/>
        <w:jc w:val="both"/>
        <w:rPr>
          <w:spacing w:val="-4"/>
          <w:szCs w:val="28"/>
          <w:lang w:eastAsia="vi-VN"/>
        </w:rPr>
      </w:pPr>
    </w:p>
    <w:p w:rsidR="005E6036" w:rsidRPr="003802AE" w:rsidRDefault="005E6036" w:rsidP="005E6036">
      <w:pPr>
        <w:pStyle w:val="NormalWeb"/>
        <w:spacing w:before="80" w:beforeAutospacing="0" w:after="80" w:afterAutospacing="0"/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533"/>
      </w:tblGrid>
      <w:tr w:rsidR="005E6036" w:rsidRPr="006621FA" w:rsidTr="00397687">
        <w:tc>
          <w:tcPr>
            <w:tcW w:w="4539" w:type="dxa"/>
            <w:shd w:val="clear" w:color="auto" w:fill="auto"/>
          </w:tcPr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20492F">
              <w:rPr>
                <w:rFonts w:eastAsia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20492F">
              <w:rPr>
                <w:rFonts w:eastAsia="Times New Roman" w:cs="Times New Roman"/>
                <w:sz w:val="22"/>
              </w:rPr>
              <w:t>Như Điều 2;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Bộ Thông tin và Truyền thông;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Cục Kiểm tra văn bản QPPL - Bộ Tư pháp;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Thường trực Thành ủy;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Thường trực HĐND/TP;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Các Ban của HĐND/TP;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Đoàn Đại biểu Quốc hội TP;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TTUB: CT, các PCT;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Ủy ban MTTQ Việt Nam TP;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VPUB: CVP, các PCVP;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Các sở, ngành Thành phố;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 xml:space="preserve">- Ủy ban nhân dân các quận, huyện và 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 xml:space="preserve">  thành phố Thủ Đức;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0492F">
              <w:rPr>
                <w:rFonts w:eastAsia="Times New Roman" w:cs="Times New Roman"/>
                <w:sz w:val="22"/>
              </w:rPr>
              <w:t>- Phòng NCPC, Trung tâm Công báo;</w:t>
            </w:r>
          </w:p>
          <w:p w:rsidR="005E6036" w:rsidRPr="0020492F" w:rsidRDefault="005E6036" w:rsidP="00397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492F">
              <w:rPr>
                <w:rFonts w:eastAsia="Times New Roman" w:cs="Times New Roman"/>
                <w:sz w:val="22"/>
              </w:rPr>
              <w:t>- Lưu: VT</w:t>
            </w:r>
          </w:p>
        </w:tc>
        <w:tc>
          <w:tcPr>
            <w:tcW w:w="4533" w:type="dxa"/>
            <w:shd w:val="clear" w:color="auto" w:fill="auto"/>
          </w:tcPr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0492F">
              <w:rPr>
                <w:rFonts w:eastAsia="Times New Roman" w:cs="Times New Roman"/>
                <w:b/>
                <w:szCs w:val="28"/>
              </w:rPr>
              <w:t>TM. ỦY BAN NHÂN DÂN</w:t>
            </w: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0492F">
              <w:rPr>
                <w:rFonts w:eastAsia="Times New Roman" w:cs="Times New Roman"/>
                <w:b/>
                <w:szCs w:val="28"/>
              </w:rPr>
              <w:t>CHỦ TỊCH</w:t>
            </w: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0492F">
              <w:rPr>
                <w:rFonts w:eastAsia="Times New Roman" w:cs="Times New Roman"/>
                <w:b/>
                <w:szCs w:val="28"/>
              </w:rPr>
              <w:t>Phan Văn Mãi</w:t>
            </w: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:rsidR="005E6036" w:rsidRPr="0020492F" w:rsidRDefault="005E6036" w:rsidP="0039768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</w:tr>
      <w:tr w:rsidR="005E6036" w:rsidRPr="006621FA" w:rsidTr="00397687">
        <w:tc>
          <w:tcPr>
            <w:tcW w:w="4539" w:type="dxa"/>
            <w:shd w:val="clear" w:color="auto" w:fill="auto"/>
          </w:tcPr>
          <w:p w:rsidR="005E6036" w:rsidRPr="006621FA" w:rsidRDefault="005E6036" w:rsidP="00397687">
            <w:pPr>
              <w:rPr>
                <w:szCs w:val="28"/>
              </w:rPr>
            </w:pPr>
          </w:p>
        </w:tc>
        <w:tc>
          <w:tcPr>
            <w:tcW w:w="4533" w:type="dxa"/>
            <w:shd w:val="clear" w:color="auto" w:fill="auto"/>
          </w:tcPr>
          <w:p w:rsidR="005E6036" w:rsidRPr="006621FA" w:rsidRDefault="005E6036" w:rsidP="00397687">
            <w:pPr>
              <w:jc w:val="center"/>
              <w:rPr>
                <w:szCs w:val="28"/>
              </w:rPr>
            </w:pPr>
          </w:p>
        </w:tc>
      </w:tr>
    </w:tbl>
    <w:p w:rsidR="005E6036" w:rsidRPr="00C22ACF" w:rsidRDefault="005E6036" w:rsidP="005E6036">
      <w:pPr>
        <w:pStyle w:val="ListParagraph"/>
        <w:widowControl w:val="0"/>
        <w:tabs>
          <w:tab w:val="left" w:pos="561"/>
          <w:tab w:val="left" w:pos="810"/>
          <w:tab w:val="left" w:pos="990"/>
          <w:tab w:val="left" w:pos="1080"/>
        </w:tabs>
        <w:spacing w:before="120" w:after="0" w:line="264" w:lineRule="auto"/>
        <w:ind w:left="0" w:firstLine="709"/>
        <w:jc w:val="both"/>
        <w:rPr>
          <w:spacing w:val="-4"/>
          <w:sz w:val="26"/>
          <w:szCs w:val="28"/>
          <w:lang w:eastAsia="vi-VN"/>
        </w:rPr>
      </w:pPr>
    </w:p>
    <w:p w:rsidR="005E6036" w:rsidRPr="000526A1" w:rsidRDefault="005E6036" w:rsidP="005E6036">
      <w:pPr>
        <w:rPr>
          <w:color w:val="000000"/>
          <w:sz w:val="16"/>
          <w:szCs w:val="28"/>
          <w:lang w:val="vi-VN"/>
        </w:rPr>
      </w:pPr>
    </w:p>
    <w:p w:rsidR="005E6036" w:rsidRDefault="005E6036" w:rsidP="005E6036">
      <w:pPr>
        <w:jc w:val="both"/>
        <w:rPr>
          <w:rFonts w:cs="Times New Roman"/>
          <w:szCs w:val="28"/>
        </w:rPr>
      </w:pPr>
    </w:p>
    <w:p w:rsidR="005E6036" w:rsidRPr="00E55A46" w:rsidRDefault="005E6036" w:rsidP="005E6036">
      <w:pPr>
        <w:jc w:val="both"/>
      </w:pPr>
      <w:bookmarkStart w:id="0" w:name="_GoBack"/>
      <w:bookmarkEnd w:id="0"/>
    </w:p>
    <w:sectPr w:rsidR="005E6036" w:rsidRPr="00E55A46" w:rsidSect="00CD19DC">
      <w:headerReference w:type="default" r:id="rId9"/>
      <w:footerReference w:type="first" r:id="rId10"/>
      <w:pgSz w:w="11909" w:h="16834" w:code="9"/>
      <w:pgMar w:top="1138" w:right="1138" w:bottom="1138" w:left="1699" w:header="57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77" w:rsidRDefault="002D2B77">
      <w:pPr>
        <w:spacing w:after="0" w:line="240" w:lineRule="auto"/>
      </w:pPr>
      <w:r>
        <w:separator/>
      </w:r>
    </w:p>
  </w:endnote>
  <w:endnote w:type="continuationSeparator" w:id="0">
    <w:p w:rsidR="002D2B77" w:rsidRDefault="002D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BC" w:rsidRPr="00072203" w:rsidRDefault="005E6036" w:rsidP="000615BC">
    <w:pPr>
      <w:ind w:left="-1134" w:firstLine="567"/>
      <w:rPr>
        <w:sz w:val="20"/>
        <w:szCs w:val="20"/>
      </w:rPr>
    </w:pPr>
    <w:r w:rsidRPr="0007220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8843E" wp14:editId="11E5F7C6">
              <wp:simplePos x="0" y="0"/>
              <wp:positionH relativeFrom="page">
                <wp:align>center</wp:align>
              </wp:positionH>
              <wp:positionV relativeFrom="paragraph">
                <wp:posOffset>222250</wp:posOffset>
              </wp:positionV>
              <wp:extent cx="5791200" cy="0"/>
              <wp:effectExtent l="0" t="0" r="19050" b="19050"/>
              <wp:wrapNone/>
              <wp:docPr id="15" name="Straight Arrow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ACA7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5" o:spid="_x0000_s1026" type="#_x0000_t32" style="position:absolute;margin-left:0;margin-top:17.5pt;width:456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kyJQIAAEw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">
              <w10:wrap anchorx="page"/>
            </v:shape>
          </w:pict>
        </mc:Fallback>
      </mc:AlternateContent>
    </w:r>
  </w:p>
  <w:p w:rsidR="000615BC" w:rsidRPr="00FD1F20" w:rsidRDefault="005E6036" w:rsidP="000615BC">
    <w:pPr>
      <w:spacing w:after="0"/>
      <w:jc w:val="center"/>
      <w:rPr>
        <w:sz w:val="24"/>
      </w:rPr>
    </w:pPr>
    <w:r w:rsidRPr="00FD1F20">
      <w:rPr>
        <w:sz w:val="24"/>
      </w:rPr>
      <w:t>Số 59 Lý Tự Trọng, Quận 1, Thành phố Hồ Chí Minh</w:t>
    </w:r>
  </w:p>
  <w:p w:rsidR="000615BC" w:rsidRPr="00FD1F20" w:rsidRDefault="005E6036" w:rsidP="000615BC">
    <w:pPr>
      <w:spacing w:after="0"/>
      <w:jc w:val="center"/>
      <w:rPr>
        <w:sz w:val="24"/>
      </w:rPr>
    </w:pPr>
    <w:r w:rsidRPr="00FD1F20">
      <w:rPr>
        <w:sz w:val="24"/>
      </w:rPr>
      <w:t>ĐT: (028) 35202727-310                 F</w:t>
    </w:r>
    <w:r w:rsidR="00FD1F20">
      <w:rPr>
        <w:sz w:val="24"/>
      </w:rPr>
      <w:t>ax</w:t>
    </w:r>
    <w:r w:rsidRPr="00FD1F20">
      <w:rPr>
        <w:sz w:val="24"/>
      </w:rPr>
      <w:t>: (028) 35202424</w:t>
    </w:r>
  </w:p>
  <w:p w:rsidR="000615BC" w:rsidRPr="00FD1F20" w:rsidRDefault="005E6036" w:rsidP="000615BC">
    <w:pPr>
      <w:spacing w:after="0"/>
      <w:ind w:left="-1245"/>
      <w:jc w:val="center"/>
      <w:rPr>
        <w:sz w:val="24"/>
      </w:rPr>
    </w:pPr>
    <w:r w:rsidRPr="00FD1F20">
      <w:rPr>
        <w:sz w:val="24"/>
      </w:rPr>
      <w:t xml:space="preserve">                               E-mail: </w:t>
    </w:r>
    <w:hyperlink r:id="rId1" w:history="1">
      <w:r w:rsidRPr="00FD1F20">
        <w:rPr>
          <w:rStyle w:val="Hyperlink"/>
          <w:color w:val="auto"/>
          <w:sz w:val="24"/>
        </w:rPr>
        <w:t>stttt@tphcm.gov.vn</w:t>
      </w:r>
    </w:hyperlink>
    <w:r w:rsidRPr="00FD1F20">
      <w:rPr>
        <w:sz w:val="24"/>
      </w:rPr>
      <w:t xml:space="preserve">        Website: </w:t>
    </w:r>
    <w:hyperlink r:id="rId2" w:history="1">
      <w:r w:rsidRPr="00FD1F20">
        <w:rPr>
          <w:rStyle w:val="Hyperlink"/>
          <w:color w:val="auto"/>
          <w:sz w:val="24"/>
        </w:rPr>
        <w:t>http://www.ict-hcm.gov.vn</w:t>
      </w:r>
    </w:hyperlink>
  </w:p>
  <w:p w:rsidR="000615BC" w:rsidRPr="00FD1F20" w:rsidRDefault="002D2B77" w:rsidP="000615BC">
    <w:pPr>
      <w:spacing w:after="0"/>
      <w:ind w:left="-1245"/>
      <w:jc w:val="center"/>
      <w:rPr>
        <w:rFonts w:eastAsia="Times New Roman"/>
        <w:b/>
        <w:sz w:val="22"/>
        <w:lang w:eastAsia="ar-SA"/>
      </w:rPr>
    </w:pPr>
  </w:p>
  <w:p w:rsidR="000615BC" w:rsidRPr="00FD1F20" w:rsidRDefault="002D2B77" w:rsidP="00061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77" w:rsidRDefault="002D2B77">
      <w:pPr>
        <w:spacing w:after="0" w:line="240" w:lineRule="auto"/>
      </w:pPr>
      <w:r>
        <w:separator/>
      </w:r>
    </w:p>
  </w:footnote>
  <w:footnote w:type="continuationSeparator" w:id="0">
    <w:p w:rsidR="002D2B77" w:rsidRDefault="002D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3419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52A4" w:rsidRDefault="005E603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2A4" w:rsidRDefault="002D2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36"/>
    <w:rsid w:val="00235B29"/>
    <w:rsid w:val="002D2B77"/>
    <w:rsid w:val="005E6036"/>
    <w:rsid w:val="005F51C2"/>
    <w:rsid w:val="00643356"/>
    <w:rsid w:val="0071766D"/>
    <w:rsid w:val="00A46AAE"/>
    <w:rsid w:val="00DD5512"/>
    <w:rsid w:val="00F25709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369478"/>
  <w15:chartTrackingRefBased/>
  <w15:docId w15:val="{88FC7486-6C62-472E-8C15-7EA15AD3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36"/>
  </w:style>
  <w:style w:type="paragraph" w:styleId="Footer">
    <w:name w:val="footer"/>
    <w:basedOn w:val="Normal"/>
    <w:link w:val="FooterChar"/>
    <w:uiPriority w:val="99"/>
    <w:unhideWhenUsed/>
    <w:rsid w:val="005E6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36"/>
  </w:style>
  <w:style w:type="paragraph" w:styleId="NormalWeb">
    <w:name w:val="Normal (Web)"/>
    <w:basedOn w:val="Normal"/>
    <w:link w:val="NormalWebChar"/>
    <w:uiPriority w:val="99"/>
    <w:unhideWhenUsed/>
    <w:rsid w:val="005E60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E6036"/>
    <w:rPr>
      <w:rFonts w:eastAsia="Times New Roman" w:cs="Times New Roman"/>
      <w:sz w:val="24"/>
      <w:szCs w:val="24"/>
    </w:rPr>
  </w:style>
  <w:style w:type="character" w:styleId="Hyperlink">
    <w:name w:val="Hyperlink"/>
    <w:rsid w:val="005E6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pl.vn/tw/pages/vbpq-timkiem.aspx?type=0&amp;s=1&amp;Keyword=154/2020/N%C4%90-CP&amp;SearchIn=Title,Title1&amp;IsRec=1&amp;pv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bpl.vn/tw/pages/vbpq-timkiem.aspx?type=0&amp;s=1&amp;Keyword=34/2016/N%C4%90-CP%C2%A0ng%C3%A0y&amp;SearchIn=Title,Title1&amp;IsRec=1&amp;pv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bpl.vn/tw/pages/vbpq-timkiem.aspx?type=0&amp;s=1&amp;Keyword=34/2016/N%C4%90-CP%C2%A0ng%C3%A0y&amp;SearchIn=Title,Title1&amp;IsRec=1&amp;pv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t-hcm.gov.vn" TargetMode="External"/><Relationship Id="rId1" Type="http://schemas.openxmlformats.org/officeDocument/2006/relationships/hyperlink" Target="mailto:stttt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Linh</dc:creator>
  <cp:keywords/>
  <dc:description/>
  <cp:lastModifiedBy>Phuong Linh</cp:lastModifiedBy>
  <cp:revision>3</cp:revision>
  <dcterms:created xsi:type="dcterms:W3CDTF">2024-10-23T09:24:00Z</dcterms:created>
  <dcterms:modified xsi:type="dcterms:W3CDTF">2024-10-24T02:05:00Z</dcterms:modified>
</cp:coreProperties>
</file>